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2" w:rsidRDefault="00550052" w:rsidP="00550052">
      <w:pPr>
        <w:shd w:val="clear" w:color="auto" w:fill="F5F5F5"/>
        <w:spacing w:after="0" w:line="240" w:lineRule="auto"/>
        <w:jc w:val="center"/>
        <w:outlineLvl w:val="3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  <w:r w:rsidRPr="00550052"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  <w:fldChar w:fldCharType="begin"/>
      </w:r>
      <w:r w:rsidRPr="00550052"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  <w:instrText xml:space="preserve"> HYPERLINK "https://osincev.org/price/" \l "collapse245" </w:instrText>
      </w:r>
      <w:r w:rsidRPr="00550052"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  <w:fldChar w:fldCharType="separate"/>
      </w:r>
      <w:r w:rsidRPr="00550052"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  <w:t>Услуги</w:t>
      </w:r>
      <w:r w:rsidRPr="00550052"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  <w:fldChar w:fldCharType="end"/>
      </w:r>
      <w:r w:rsidRPr="00550052"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  <w:t xml:space="preserve"> для организаций малого и среднего бизнеса на 2020год</w:t>
      </w:r>
    </w:p>
    <w:p w:rsidR="00550052" w:rsidRPr="00550052" w:rsidRDefault="00550052" w:rsidP="00550052">
      <w:pPr>
        <w:shd w:val="clear" w:color="auto" w:fill="F5F5F5"/>
        <w:spacing w:after="0" w:line="240" w:lineRule="auto"/>
        <w:jc w:val="center"/>
        <w:outlineLvl w:val="3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50052" w:rsidRPr="00550052" w:rsidRDefault="00550052" w:rsidP="00550052">
      <w:pPr>
        <w:shd w:val="clear" w:color="auto" w:fill="F5F5F5"/>
        <w:spacing w:after="0" w:line="240" w:lineRule="auto"/>
        <w:outlineLvl w:val="3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  <w:gridCol w:w="2146"/>
      </w:tblGrid>
      <w:tr w:rsidR="00550052" w:rsidRPr="00550052" w:rsidTr="0032015E">
        <w:trPr>
          <w:trHeight w:val="371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</w:pPr>
            <w:r w:rsidRPr="00550052"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  <w:t>Консультации, составление документов</w:t>
            </w:r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550052" w:rsidRPr="00550052" w:rsidTr="0032015E">
        <w:trPr>
          <w:trHeight w:val="455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 xml:space="preserve">Первичная/повторная </w:t>
            </w:r>
            <w:r w:rsidRPr="00550052">
              <w:rPr>
                <w:rFonts w:ascii="Calibri Light" w:eastAsia="Times New Roman" w:hAnsi="Calibri Light" w:cs="Arial"/>
                <w:b/>
                <w:color w:val="333333"/>
                <w:sz w:val="24"/>
                <w:szCs w:val="24"/>
                <w:u w:val="single"/>
                <w:lang w:eastAsia="ru-RU"/>
              </w:rPr>
              <w:t>устная</w:t>
            </w: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 xml:space="preserve"> консультация (1 час)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  <w:t>От</w:t>
            </w:r>
            <w:r w:rsidRPr="00550052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val="en-US" w:eastAsia="ru-RU"/>
              </w:rPr>
              <w:t xml:space="preserve"> 2</w:t>
            </w:r>
            <w:r w:rsidRPr="00550052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  <w:t>000руб.</w:t>
            </w:r>
          </w:p>
        </w:tc>
      </w:tr>
      <w:tr w:rsidR="00550052" w:rsidRPr="00550052" w:rsidTr="0032015E">
        <w:trPr>
          <w:trHeight w:val="419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Консультация с выездом к Клиенту (1 час)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  <w:t>От 4000руб.</w:t>
            </w:r>
          </w:p>
        </w:tc>
      </w:tr>
      <w:tr w:rsidR="00550052" w:rsidRPr="00550052" w:rsidTr="0032015E">
        <w:trPr>
          <w:trHeight w:val="695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Анализ поступивших документов с предоставлением устного развернутого ответа на личной встрече или по телефону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  <w:t>От 2 500руб.</w:t>
            </w:r>
          </w:p>
        </w:tc>
      </w:tr>
      <w:tr w:rsidR="00550052" w:rsidRPr="00550052" w:rsidTr="0032015E">
        <w:trPr>
          <w:trHeight w:val="407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 xml:space="preserve">Первичная/повторная </w:t>
            </w:r>
            <w:r w:rsidRPr="00550052">
              <w:rPr>
                <w:rFonts w:ascii="Calibri Light" w:eastAsia="Times New Roman" w:hAnsi="Calibri Light" w:cs="Arial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письменная</w:t>
            </w: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  <w:t>От  5000руб.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Составление письма/ответа в государственные, муниципальные органы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  <w:t>От 2 500руб.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  <w:tcBorders>
              <w:bottom w:val="single" w:sz="4" w:space="0" w:color="auto"/>
            </w:tcBorders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Разработка и экспертиза гражданско-правовых договоров, внутренних документов юридического лица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ru-RU"/>
              </w:rPr>
              <w:t>От 3000руб.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10632" w:type="dxa"/>
            <w:gridSpan w:val="2"/>
            <w:tcBorders>
              <w:left w:val="nil"/>
              <w:bottom w:val="single" w:sz="4" w:space="0" w:color="auto"/>
            </w:tcBorders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</w:pPr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</w:pPr>
            <w:r w:rsidRPr="00550052"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  <w:t>Юридическое сопровождение</w:t>
            </w:r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  <w:tcBorders>
              <w:bottom w:val="single" w:sz="4" w:space="0" w:color="auto"/>
            </w:tcBorders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Юридическое сопровождение организации (аутсорсинг)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color w:val="333333"/>
                <w:lang w:eastAsia="ru-RU"/>
              </w:rPr>
            </w:pPr>
            <w:r w:rsidRPr="00550052">
              <w:rPr>
                <w:rFonts w:ascii="Verdana" w:eastAsia="Times New Roman" w:hAnsi="Verdana" w:cs="Arial"/>
                <w:color w:val="333333"/>
                <w:lang w:eastAsia="ru-RU"/>
              </w:rPr>
              <w:t>От 10000руб.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:rsidR="00550052" w:rsidRPr="00550052" w:rsidRDefault="00550052" w:rsidP="00550052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</w:pPr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</w:pPr>
            <w:r w:rsidRPr="00550052"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  <w:t>Внесение изменений в учредительные документы, ЕГРЮЛ</w:t>
            </w:r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Смена видов экономической деятельности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  <w:t>5 000руб.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Смена участников - 5 500 руб.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  <w:t>5 500руб.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Смена руководителя (директора)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  <w:t>5 000руб.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Смена наименования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  <w:t>5 000руб.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Смена юридического адреса</w:t>
            </w: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  <w:t>8 000руб.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Внесение изменений в Устав или новая редакция Устав</w:t>
            </w:r>
            <w:proofErr w:type="gramStart"/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а ООО</w:t>
            </w:r>
            <w:proofErr w:type="gramEnd"/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  <w:t>4 500руб.</w:t>
            </w:r>
          </w:p>
        </w:tc>
      </w:tr>
      <w:tr w:rsidR="00550052" w:rsidRPr="00550052" w:rsidTr="0032015E">
        <w:trPr>
          <w:trHeight w:val="428"/>
        </w:trPr>
        <w:tc>
          <w:tcPr>
            <w:tcW w:w="8486" w:type="dxa"/>
            <w:tcBorders>
              <w:bottom w:val="single" w:sz="4" w:space="0" w:color="auto"/>
            </w:tcBorders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Изменение размера уставного капитала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  <w:t>5 000руб.</w:t>
            </w:r>
          </w:p>
        </w:tc>
      </w:tr>
      <w:tr w:rsidR="00550052" w:rsidRPr="00550052" w:rsidTr="0032015E">
        <w:trPr>
          <w:trHeight w:val="404"/>
        </w:trPr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</w:pPr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</w:pPr>
            <w:r w:rsidRPr="00550052">
              <w:rPr>
                <w:rFonts w:ascii="Verdana" w:eastAsia="Times New Roman" w:hAnsi="Verdana" w:cs="Arial"/>
                <w:b/>
                <w:color w:val="008080"/>
                <w:sz w:val="24"/>
                <w:szCs w:val="24"/>
                <w:lang w:eastAsia="ru-RU"/>
              </w:rPr>
              <w:t>Регистрация ООО</w:t>
            </w:r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550052" w:rsidRPr="00550052" w:rsidTr="0032015E">
        <w:trPr>
          <w:trHeight w:val="347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Составление документов для регистрации</w:t>
            </w:r>
          </w:p>
          <w:p w:rsidR="00550052" w:rsidRPr="00550052" w:rsidRDefault="00550052" w:rsidP="00550052">
            <w:pPr>
              <w:spacing w:after="0" w:line="240" w:lineRule="auto"/>
              <w:jc w:val="both"/>
              <w:outlineLvl w:val="3"/>
              <w:rPr>
                <w:rFonts w:ascii="Calibri Light" w:eastAsia="Times New Roman" w:hAnsi="Calibri Light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  <w:t>5 000руб.</w:t>
            </w:r>
          </w:p>
        </w:tc>
      </w:tr>
      <w:tr w:rsidR="00550052" w:rsidRPr="00550052" w:rsidTr="0032015E">
        <w:trPr>
          <w:trHeight w:val="726"/>
        </w:trPr>
        <w:tc>
          <w:tcPr>
            <w:tcW w:w="848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b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 Light" w:eastAsia="Times New Roman" w:hAnsi="Calibri Light" w:cs="Arial"/>
                <w:b/>
                <w:color w:val="333333"/>
                <w:sz w:val="24"/>
                <w:szCs w:val="24"/>
                <w:lang w:eastAsia="ru-RU"/>
              </w:rPr>
              <w:t>Под ключ</w:t>
            </w:r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(Включает:</w:t>
            </w:r>
            <w:proofErr w:type="gramEnd"/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052"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  <w:t>Подготовку документов для регистрации, оплату государственной пошлины, подачу документов в налоговый орган)</w:t>
            </w:r>
            <w:proofErr w:type="gramEnd"/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</w:p>
          <w:p w:rsidR="00550052" w:rsidRPr="00550052" w:rsidRDefault="00550052" w:rsidP="00550052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</w:pPr>
            <w:r w:rsidRPr="00550052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ru-RU"/>
              </w:rPr>
              <w:t>8000руб.</w:t>
            </w:r>
          </w:p>
        </w:tc>
      </w:tr>
    </w:tbl>
    <w:p w:rsidR="00550052" w:rsidRPr="00550052" w:rsidRDefault="00550052" w:rsidP="00550052">
      <w:pPr>
        <w:shd w:val="clear" w:color="auto" w:fill="F5F5F5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C23ADD" w:rsidRDefault="00C23ADD"/>
    <w:sectPr w:rsidR="00C2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52"/>
    <w:rsid w:val="00550052"/>
    <w:rsid w:val="00C23ADD"/>
    <w:rsid w:val="00E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9E5D-F7D1-4C77-9330-B6D127BD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2020-01-24T09:41:00Z</cp:lastPrinted>
  <dcterms:created xsi:type="dcterms:W3CDTF">2020-01-24T09:13:00Z</dcterms:created>
  <dcterms:modified xsi:type="dcterms:W3CDTF">2020-01-24T09:42:00Z</dcterms:modified>
</cp:coreProperties>
</file>